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1572"/>
        <w:gridCol w:w="858"/>
        <w:gridCol w:w="530"/>
        <w:gridCol w:w="1842"/>
        <w:gridCol w:w="2066"/>
        <w:gridCol w:w="530"/>
        <w:gridCol w:w="785"/>
        <w:gridCol w:w="1425"/>
        <w:gridCol w:w="4473"/>
      </w:tblGrid>
      <w:tr w:rsidR="009D528A" w:rsidRPr="009D528A" w:rsidTr="009D528A">
        <w:trPr>
          <w:trHeight w:val="822"/>
        </w:trPr>
        <w:tc>
          <w:tcPr>
            <w:tcW w:w="0" w:type="auto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方正小标宋简体" w:eastAsia="方正小标宋简体" w:hAnsi="宋体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r w:rsidRPr="009D528A">
              <w:rPr>
                <w:rFonts w:ascii="方正小标宋简体" w:eastAsia="方正小标宋简体" w:hAnsi="宋体" w:cs="宋体" w:hint="eastAsia"/>
                <w:b/>
                <w:bCs/>
                <w:kern w:val="0"/>
                <w:sz w:val="40"/>
                <w:szCs w:val="40"/>
              </w:rPr>
              <w:t>中国丝绸博物馆2022年公开选聘计划表</w:t>
            </w:r>
            <w:bookmarkEnd w:id="0"/>
          </w:p>
        </w:tc>
      </w:tr>
      <w:tr w:rsidR="009D528A" w:rsidRPr="009D528A" w:rsidTr="009D528A">
        <w:trPr>
          <w:trHeight w:val="8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招聘岗位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人数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招聘对象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学历/学位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专业技术资格或职业资格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其  他</w:t>
            </w:r>
          </w:p>
        </w:tc>
      </w:tr>
      <w:tr w:rsidR="009D528A" w:rsidRPr="009D528A" w:rsidTr="009D528A">
        <w:trPr>
          <w:trHeight w:val="328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国际交流部副主任（主持工作）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管理/专业技术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全国党政机关公务员或事业单位在编在岗人员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40周岁及以下（1981年8月7日后出生）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硕士/研究生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1.具有2年及以上国际交流相关工作经历；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2.大学英语六级(或托福80分及以上，</w:t>
            </w:r>
            <w:proofErr w:type="gramStart"/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或雅思</w:t>
            </w:r>
            <w:proofErr w:type="gramEnd"/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6.5分及以上）；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3.需满足下列条件之一：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（1）现任（聘）正科级（管理七级职员）职务及其他相当职级层次的人员；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（2）现任（聘）副科级（管理八级职员）职务及其他相当职级层次的人员且任职满2年；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（3）具有副高及以上专业技术职务（岗位）；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（4）具有3年及以上中级专业技术职务（岗位）任职经历； 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4.具有博士研究生学历（学位）或副高级专业技术资格的人员或取得过厅局级及以上荣誉者，年龄可放宽至45周岁。               </w:t>
            </w:r>
          </w:p>
        </w:tc>
      </w:tr>
      <w:tr w:rsidR="009D528A" w:rsidRPr="009D528A" w:rsidTr="009D528A">
        <w:trPr>
          <w:trHeight w:val="16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社会教育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全国党政机关公务员或事业单位在编在岗人员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40周岁及以下（1981年8月7日后出生）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1.有宣传（包括新媒体运营）、社会教育、活动策划、文字或博物馆等相关工作经历； 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2.具有博士研究生学历（学位）或副高级专业技术资格的人员或取得过厅局级及以上荣誉者，年龄可放宽至45周岁。 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                            </w:t>
            </w:r>
          </w:p>
        </w:tc>
      </w:tr>
      <w:tr w:rsidR="009D528A" w:rsidRPr="009D528A" w:rsidTr="009D528A">
        <w:trPr>
          <w:trHeight w:val="289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财务主管（主办会计）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全省党政机关公务员或事业单位在编在岗人员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40周岁及以下（1981年8月7日后出生）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本科/学士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会计（中级）或注册会计师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528A" w:rsidRPr="009D528A" w:rsidRDefault="009D528A" w:rsidP="009D528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1.具有2年及以上财务相关工作经历；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2.具有事业单位财务工作经验；熟悉事业单位预算管理；</w:t>
            </w:r>
            <w:r w:rsidRPr="009D528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3.具有博士研究生学历（学位）或副高级专业技术资格的人员或取得过厅局级及以上荣誉者，年龄可放宽至45周岁。  </w:t>
            </w:r>
          </w:p>
        </w:tc>
      </w:tr>
    </w:tbl>
    <w:p w:rsidR="00D66147" w:rsidRPr="009D528A" w:rsidRDefault="00D66147"/>
    <w:sectPr w:rsidR="00D66147" w:rsidRPr="009D528A" w:rsidSect="009D52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仓耳今楷05-6763 W05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28A"/>
    <w:rsid w:val="009D528A"/>
    <w:rsid w:val="00D66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4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705</Characters>
  <Application>Microsoft Office Word</Application>
  <DocSecurity>0</DocSecurity>
  <Lines>5</Lines>
  <Paragraphs>1</Paragraphs>
  <ScaleCrop>false</ScaleCrop>
  <Company>Microsoft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梁严艺</dc:creator>
  <cp:lastModifiedBy>梁严艺</cp:lastModifiedBy>
  <cp:revision>1</cp:revision>
  <dcterms:created xsi:type="dcterms:W3CDTF">2022-07-18T01:26:00Z</dcterms:created>
  <dcterms:modified xsi:type="dcterms:W3CDTF">2022-07-18T01:26:00Z</dcterms:modified>
</cp:coreProperties>
</file>